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D38" w:rsidRDefault="00276D38">
      <w:pPr>
        <w:rPr>
          <w:rFonts w:ascii="Tahoma" w:hAnsi="Tahoma" w:cs="Tahoma"/>
          <w:b/>
          <w:szCs w:val="20"/>
        </w:rPr>
      </w:pPr>
    </w:p>
    <w:p w:rsidR="00720107" w:rsidRDefault="00426E5E">
      <w:pPr>
        <w:jc w:val="center"/>
        <w:rPr>
          <w:rFonts w:ascii="Tahoma" w:hAnsi="Tahoma" w:cs="Tahoma"/>
          <w:b/>
          <w:szCs w:val="20"/>
        </w:rPr>
        <w:bidi w:val="0"/>
      </w:pPr>
      <w:r>
        <w:rPr>
          <w:rFonts w:ascii="Tahoma" w:hAnsi="Tahoma" w:cs="Tahoma"/>
          <w:szCs w:val="20"/>
          <w:lang w:val="nl-nl"/>
          <w:b w:val="1"/>
          <w:bCs w:val="1"/>
          <w:i w:val="0"/>
          <w:iCs w:val="0"/>
          <w:u w:val="none"/>
          <w:rtl w:val="0"/>
        </w:rPr>
        <w:t xml:space="preserve">FINEO Acoustic 39 dB v406-I - Vacuümisolatiebeglazing met gelaagd glas</w:t>
      </w:r>
    </w:p>
    <w:p w:rsidR="007427B2" w:rsidRDefault="007427B2">
      <w:pPr>
        <w:jc w:val="center"/>
        <w:rPr>
          <w:rFonts w:ascii="Tahoma" w:hAnsi="Tahoma" w:cs="Tahoma"/>
          <w:sz w:val="20"/>
          <w:szCs w:val="20"/>
        </w:rPr>
      </w:pPr>
    </w:p>
    <w:p w:rsidR="005A7578" w:rsidRDefault="005A7578">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FINEO-vacuümisolatiebeglazing met gelaagd glas bestaat uit vacuümisolatieglas met aan één zijde gelaagd glas, dat is voorzien van een tussenlaag van ethylvinylacetaat (EVA).</w:t>
      </w:r>
    </w:p>
    <w:p w:rsidR="00447248" w:rsidRDefault="00447248">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FINEO-vacuümisolatieglas is voorzien van de CE-markering overeenkomstig EAD 300021-00-0404. </w:t>
      </w:r>
    </w:p>
    <w:p w:rsidR="00D956D2" w:rsidRDefault="005A7578">
      <w:pPr>
        <w:rPr>
          <w:rFonts w:ascii="Tahoma" w:hAnsi="Tahoma" w:cs="Tahoma"/>
          <w:sz w:val="20"/>
          <w:szCs w:val="20"/>
        </w:rPr>
        <w:bidi w:val="0"/>
      </w:pPr>
      <w:r>
        <w:rPr>
          <w:rFonts w:ascii="Tahoma" w:hAnsi="Tahoma" w:cs="Tahoma"/>
          <w:sz w:val="20"/>
          <w:szCs w:val="20"/>
          <w:lang w:val="nl-nl"/>
          <w:b w:val="0"/>
          <w:bCs w:val="0"/>
          <w:i w:val="0"/>
          <w:iCs w:val="0"/>
          <w:u w:val="none"/>
          <w:rtl w:val="0"/>
        </w:rPr>
        <w:t xml:space="preserve">De eenheid van gelaagd glas heeft een geluiddempingsindex Rw = 39(-1;-3) dB volgens ISO 19916-1, clausule 8.</w:t>
      </w:r>
    </w:p>
    <w:p w:rsidR="005A7578" w:rsidRDefault="005A7578">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 is beglazing met vacuümisolatie die bestaat uit twee bladen van uitgegloeid helder glas die van elkaar worden gescheiden door een vacuümspouw. De bladen worden van elkaar gescheidend door een loodvrije anorganische randafdichting die speciaal is ontwikkeld voor vacuümtoepassingen. Deze loodvrije anorganische randafdichting biedt mechanische sterkte en brengt een hermetische afdichting tot stand.</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 heeft een lineaire gasbinder langs de rand van de vacuümspouw waar de coating is verwijderd. Er zit geen vacuümevacuatiepoort op.</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De beglazing met vacuümisolatie bestaat uit twee bladen van glas die voldoen aan de norm EN 572 en van elkaar worden gescheiden door een vacuümspouw van ongeveer 0,1 mm. De spouw wordt in stand gehouden door zeer kleine afstandhouders die in een rasterpatroon van 20 mm verspreid over het hele glasoppervlak tussen de glasbladen zijn geplaatst.</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Een low-e-coating die voldoet aan EN 1096 wordt aangebracht op de binnenzijden van de glasbladen, d.w.z. de zijden die in contact komen met de vacuümspouw.</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Voornaamste licht- en energie-eigenschappen voor de volgende samenstelling </w:t>
      </w:r>
      <w:r>
        <w:rPr>
          <w:rFonts w:ascii="Tahoma" w:hAnsi="Tahoma" w:cs="Tahoma"/>
          <w:sz w:val="20"/>
          <w:szCs w:val="20"/>
          <w:vertAlign w:val="superscript"/>
          <w:lang w:val="nl-nl"/>
          <w:b w:val="0"/>
          <w:bCs w:val="0"/>
          <w:i w:val="0"/>
          <w:iCs w:val="0"/>
          <w:u w:val="none"/>
          <w:rtl w:val="0"/>
        </w:rPr>
        <w:t xml:space="preserve">(1)</w:t>
      </w:r>
      <w:r>
        <w:rPr>
          <w:rFonts w:ascii="Tahoma" w:hAnsi="Tahoma" w:cs="Tahoma"/>
          <w:sz w:val="20"/>
          <w:szCs w:val="20"/>
          <w:lang w:val="nl-nl"/>
          <w:b w:val="0"/>
          <w:bCs w:val="0"/>
          <w:i w:val="0"/>
          <w:iCs w:val="0"/>
          <w:u w:val="none"/>
          <w:rtl w:val="0"/>
        </w:rPr>
        <w:t xml:space="preserve">:</w:t>
      </w:r>
    </w:p>
    <w:p w:rsidR="00464D98" w:rsidRDefault="00464D98">
      <w:pPr>
        <w:rPr>
          <w:rFonts w:ascii="Tahoma" w:hAnsi="Tahoma" w:cs="Tahoma"/>
          <w:sz w:val="20"/>
          <w:szCs w:val="20"/>
        </w:rPr>
        <w:bidi w:val="0"/>
      </w:pPr>
      <w:r>
        <w:rPr>
          <w:rFonts w:ascii="Tahoma" w:hAnsi="Tahoma" w:cs="Tahoma"/>
          <w:sz w:val="20"/>
          <w:szCs w:val="20"/>
          <w:lang w:val="nl-nl"/>
          <w:b w:val="0"/>
          <w:bCs w:val="0"/>
          <w:i w:val="0"/>
          <w:iCs w:val="0"/>
          <w:u w:val="none"/>
          <w:rtl w:val="0"/>
        </w:rPr>
        <w:t xml:space="preserve">vacuümisolatieglas  met een dikte van 8 mm / EVA-tussenlaag van 0,8 mm / blad van uitgegloeid helder glas van 3 mm (vacuümspouw van 0,1 mm en low-E-coating).</w:t>
      </w:r>
    </w:p>
    <w:tbl>
      <w:tblPr>
        <w:tblStyle w:val="TableGrid"/>
        <w:tblW w:w="0" w:type="auto"/>
        <w:tblLook w:val="04A0" w:firstRow="1" w:lastRow="0" w:firstColumn="1" w:lastColumn="0" w:noHBand="0" w:noVBand="1"/>
      </w:tblPr>
      <w:tblGrid>
        <w:gridCol w:w="4248"/>
        <w:gridCol w:w="1559"/>
        <w:gridCol w:w="1276"/>
        <w:gridCol w:w="2267"/>
      </w:tblGrid>
      <w:tr w:rsidR="009D771A" w:rsidTr="00E747EA">
        <w:tc>
          <w:tcPr>
            <w:tcW w:w="4248"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Eigenschap</w:t>
            </w:r>
          </w:p>
        </w:tc>
        <w:tc>
          <w:tcPr>
            <w:tcW w:w="1559"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Waarde</w:t>
            </w:r>
          </w:p>
        </w:tc>
        <w:tc>
          <w:tcPr>
            <w:tcW w:w="1276"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Eenheid</w:t>
            </w:r>
          </w:p>
        </w:tc>
        <w:tc>
          <w:tcPr>
            <w:tcW w:w="2267"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EN-norm</w:t>
            </w: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LT – lichttransmissie</w:t>
            </w:r>
          </w:p>
        </w:tc>
        <w:tc>
          <w:tcPr>
            <w:tcW w:w="1559" w:type="dxa"/>
          </w:tcPr>
          <w:p w:rsidR="009D771A" w:rsidRDefault="007244F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78</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val="restart"/>
            <w:vAlign w:val="center"/>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EN 410</w:t>
            </w: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Lichtweerkaatsing buitenkant/binnenkant</w:t>
            </w:r>
          </w:p>
        </w:tc>
        <w:tc>
          <w:tcPr>
            <w:tcW w:w="1559"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14 / 14</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tcPr>
          <w:p w:rsidR="009D771A" w:rsidRDefault="009D771A">
            <w:pPr>
              <w:jc w:val="center"/>
              <w:rPr>
                <w:rFonts w:ascii="Tahoma" w:hAnsi="Tahoma" w:cs="Tahoma"/>
                <w:sz w:val="20"/>
                <w:szCs w:val="20"/>
              </w:rPr>
            </w:pP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g</w:t>
            </w:r>
          </w:p>
        </w:tc>
        <w:tc>
          <w:tcPr>
            <w:tcW w:w="1559" w:type="dxa"/>
          </w:tcPr>
          <w:p w:rsidR="009D771A" w:rsidRDefault="007244F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0,61</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tcPr>
          <w:p w:rsidR="009D771A" w:rsidRDefault="009D771A">
            <w:pPr>
              <w:jc w:val="center"/>
              <w:rPr>
                <w:rFonts w:ascii="Tahoma" w:hAnsi="Tahoma" w:cs="Tahoma"/>
                <w:sz w:val="20"/>
                <w:szCs w:val="20"/>
              </w:rPr>
            </w:pP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Ug-waarde</w:t>
            </w:r>
          </w:p>
        </w:tc>
        <w:tc>
          <w:tcPr>
            <w:tcW w:w="1559"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0,7</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W/(m².K)</w:t>
            </w:r>
          </w:p>
        </w:tc>
        <w:tc>
          <w:tcPr>
            <w:tcW w:w="2267"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EN 673</w:t>
            </w:r>
          </w:p>
        </w:tc>
      </w:tr>
      <w:tr w:rsidR="00861D8B" w:rsidTr="00E747EA">
        <w:tc>
          <w:tcPr>
            <w:tcW w:w="4248" w:type="dxa"/>
          </w:tcPr>
          <w:p w:rsidR="00861D8B" w:rsidRDefault="00861D8B">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Rw</w:t>
            </w:r>
          </w:p>
        </w:tc>
        <w:tc>
          <w:tcPr>
            <w:tcW w:w="1559" w:type="dxa"/>
          </w:tcPr>
          <w:p w:rsidR="00861D8B" w:rsidRDefault="00861D8B">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39(-1;-3)</w:t>
            </w:r>
          </w:p>
        </w:tc>
        <w:tc>
          <w:tcPr>
            <w:tcW w:w="1276" w:type="dxa"/>
          </w:tcPr>
          <w:p w:rsidR="00861D8B" w:rsidRDefault="00E747E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dB</w:t>
            </w:r>
          </w:p>
        </w:tc>
        <w:tc>
          <w:tcPr>
            <w:tcW w:w="2267" w:type="dxa"/>
          </w:tcPr>
          <w:p w:rsidR="00861D8B" w:rsidRDefault="00E747E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ISO 19916-1, clausule 8</w:t>
            </w:r>
          </w:p>
        </w:tc>
      </w:tr>
      <w:tr w:rsidR="00B7435A" w:rsidTr="00E747EA">
        <w:tc>
          <w:tcPr>
            <w:tcW w:w="4248" w:type="dxa"/>
          </w:tcPr>
          <w:p w:rsidR="00B7435A" w:rsidRDefault="00B7435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Werkelijke dikte</w:t>
            </w:r>
          </w:p>
        </w:tc>
        <w:tc>
          <w:tcPr>
            <w:tcW w:w="1559" w:type="dxa"/>
          </w:tcPr>
          <w:p w:rsidR="00B7435A" w:rsidRDefault="00B7435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11,4</w:t>
            </w:r>
          </w:p>
        </w:tc>
        <w:tc>
          <w:tcPr>
            <w:tcW w:w="1276" w:type="dxa"/>
          </w:tcPr>
          <w:p w:rsidR="00B7435A" w:rsidRDefault="00B7435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mm</w:t>
            </w:r>
          </w:p>
        </w:tc>
        <w:tc>
          <w:tcPr>
            <w:tcW w:w="2267" w:type="dxa"/>
          </w:tcPr>
          <w:p w:rsidR="00B7435A" w:rsidRDefault="00B7435A">
            <w:pPr>
              <w:jc w:val="center"/>
              <w:rPr>
                <w:rFonts w:ascii="Tahoma" w:hAnsi="Tahoma" w:cs="Tahoma"/>
                <w:sz w:val="20"/>
                <w:szCs w:val="20"/>
              </w:rPr>
            </w:pPr>
          </w:p>
        </w:tc>
      </w:tr>
    </w:tbl>
    <w:p w:rsidR="00464D98" w:rsidRDefault="00464D98">
      <w:pPr>
        <w:rPr>
          <w:rFonts w:ascii="Tahoma" w:hAnsi="Tahoma" w:cs="Tahoma"/>
          <w:sz w:val="20"/>
          <w:szCs w:val="20"/>
        </w:rPr>
      </w:pP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Aan weerzijden is het glas is doorzichtig en heeft het een neutraal uiterlijk.</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De hermetische afsluiting van de vacuümisolatiebeglazing wordt volgens de garantievoorwaarden van de fabrikant voor 20 jaar gegarandeerd.</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Het vacuümisolatieglas is goedgekeurd in het kader van de ETA (ETA 20/0048).</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De dikte van de glasbladen in devacuümisolatiebeglazing wordt bepaald op basis van de afmetingen van de beglazing, windbelasting, klimaatbelasting, projectspecifieke belastingen en de specifieke inherente mechanische eigenschappen van vacuümisolatiebeglazing.</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Zowel voor het bovenblad van gegloeid helder glas als voor de low-E-coating moet door de geaccrediteerde onafhankelijke instantie MBDC het certificaat Cradle to Cradle Certified® Bronze zijn toegekend.</w:t>
      </w:r>
    </w:p>
    <w:p w:rsidR="006A618A" w:rsidRDefault="006A618A">
      <w:pPr>
        <w:autoSpaceDE w:val="0"/>
        <w:autoSpaceDN w:val="0"/>
        <w:rPr>
          <w:rFonts w:ascii="Tahoma" w:hAnsi="Tahoma" w:cs="Tahoma"/>
          <w:sz w:val="20"/>
          <w:szCs w:val="20"/>
        </w:rPr>
      </w:pPr>
    </w:p>
    <w:p w:rsidR="006A618A" w:rsidRDefault="006A618A">
      <w:pPr>
        <w:pStyle w:val="ListParagraph"/>
        <w:numPr>
          <w:ilvl w:val="0"/>
          <w:numId w:val="2"/>
        </w:numPr>
        <w:rPr>
          <w:rFonts w:ascii="Tahoma" w:hAnsi="Tahoma" w:cs="Tahoma"/>
          <w:sz w:val="20"/>
          <w:szCs w:val="20"/>
        </w:rPr>
        <w:bidi w:val="0"/>
      </w:pPr>
      <w:r>
        <w:rPr>
          <w:rFonts w:ascii="Tahoma" w:hAnsi="Tahoma" w:cs="Tahoma"/>
          <w:sz w:val="20"/>
          <w:szCs w:val="20"/>
          <w:lang w:val="nl-nl"/>
          <w:b w:val="0"/>
          <w:bCs w:val="0"/>
          <w:i w:val="0"/>
          <w:iCs w:val="0"/>
          <w:u w:val="none"/>
          <w:rtl w:val="0"/>
        </w:rPr>
        <w:t xml:space="preserve"> Deze waarden worden berekend op basis van spectrale metingen die overeenstemmen met de normen EN 140 en ISO 9050:1990. De U-waarde wordt berekend op basis van de norm EN 673 en gemeten volgens EN 674. De meting van de emissiecoëfficiënt voldoet aan de normen EN 673 (Annex A) en EN 12898.</w:t>
      </w:r>
    </w:p>
    <w:p w:rsidR="00253C53" w:rsidRDefault="00253C53">
      <w:pPr>
        <w:rPr>
          <w:rFonts w:ascii="Tahoma" w:hAnsi="Tahoma" w:cs="Tahoma"/>
          <w:sz w:val="20"/>
          <w:szCs w:val="20"/>
        </w:rPr>
      </w:pPr>
    </w:p>
    <w:sectPr w:rsidR="00253C5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1E0D" w:rsidRDefault="00EE1E0D">
      <w:pPr>
        <w:bidi w:val="0"/>
      </w:pPr>
      <w:r>
        <w:separator/>
      </w:r>
    </w:p>
  </w:endnote>
  <w:endnote w:type="continuationSeparator" w:id="0">
    <w:p w:rsidR="00EE1E0D" w:rsidRDefault="00EE1E0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1E0D" w:rsidRDefault="00EE1E0D">
      <w:pPr>
        <w:bidi w:val="0"/>
      </w:pPr>
      <w:r>
        <w:separator/>
      </w:r>
    </w:p>
  </w:footnote>
  <w:footnote w:type="continuationSeparator" w:id="0">
    <w:p w:rsidR="00EE1E0D" w:rsidRDefault="00EE1E0D">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2B02" w:rsidRPr="00426E5E" w:rsidRDefault="007427B2">
    <w:pPr>
      <w:pStyle w:val="Header"/>
      <w:rPr>
        <w:noProof/>
      </w:rPr>
      <w:bidi w:val="0"/>
    </w:pPr>
    <w:r>
      <w:rPr>
        <w:noProof/>
        <w:lang w:val="nl-nl"/>
        <w:b w:val="0"/>
        <w:bCs w:val="0"/>
        <w:i w:val="0"/>
        <w:iCs w:val="0"/>
        <w:u w:val="none"/>
        <w:rtl w:val="0"/>
      </w:rPr>
      <w:fldChar w:fldCharType="begin"/>
    </w:r>
    <w:r>
      <w:rPr>
        <w:noProof/>
        <w:lang w:val="nl-nl"/>
        <w:b w:val="0"/>
        <w:bCs w:val="0"/>
        <w:i w:val="0"/>
        <w:iCs w:val="0"/>
        <w:u w:val="none"/>
        <w:rtl w:val="0"/>
      </w:rPr>
      <w:instrText xml:space="preserve"> FILENAME   \* MERGEFORMAT </w:instrText>
    </w:r>
    <w:r>
      <w:rPr>
        <w:noProof/>
        <w:lang w:val="nl-nl"/>
        <w:b w:val="0"/>
        <w:bCs w:val="0"/>
        <w:i w:val="0"/>
        <w:iCs w:val="0"/>
        <w:u w:val="none"/>
        <w:rtl w:val="0"/>
      </w:rPr>
      <w:fldChar w:fldCharType="separate"/>
    </w:r>
    <w:r>
      <w:rPr>
        <w:noProof/>
        <w:lang w:val="nl-nl"/>
        <w:b w:val="0"/>
        <w:bCs w:val="0"/>
        <w:i w:val="0"/>
        <w:iCs w:val="0"/>
        <w:u w:val="none"/>
        <w:rtl w:val="0"/>
      </w:rPr>
      <w:fldChar w:fldCharType="begin"/>
    </w:r>
    <w:r>
      <w:rPr>
        <w:noProof/>
        <w:lang w:val="nl-nl"/>
        <w:b w:val="0"/>
        <w:bCs w:val="0"/>
        <w:i w:val="0"/>
        <w:iCs w:val="0"/>
        <w:u w:val="none"/>
        <w:rtl w:val="0"/>
      </w:rPr>
      <w:instrText xml:space="preserve"> FILENAME   \* MERGEFORMAT </w:instrText>
    </w:r>
    <w:r>
      <w:rPr>
        <w:noProof/>
        <w:lang w:val="nl-nl"/>
        <w:b w:val="0"/>
        <w:bCs w:val="0"/>
        <w:i w:val="0"/>
        <w:iCs w:val="0"/>
        <w:u w:val="none"/>
        <w:rtl w:val="0"/>
      </w:rPr>
      <w:fldChar w:fldCharType="separate"/>
    </w:r>
    <w:r>
      <w:rPr>
        <w:noProof/>
        <w:lang w:val="nl-nl"/>
        <w:b w:val="0"/>
        <w:bCs w:val="0"/>
        <w:i w:val="0"/>
        <w:iCs w:val="0"/>
        <w:u w:val="none"/>
        <w:rtl w:val="0"/>
      </w:rPr>
      <w:t xml:space="preserve">TECH - FINEO Acoustic 39 dB v406-I - Specificaties - 2025 03 07 - UK</w:t>
    </w:r>
    <w:r>
      <w:rPr>
        <w:noProof/>
        <w:lang w:val="nl-nl"/>
        <w:b w:val="0"/>
        <w:bCs w:val="0"/>
        <w:i w:val="0"/>
        <w:iCs w:val="0"/>
        <w:u w:val="none"/>
        <w:rtl w:val="0"/>
      </w:rPr>
      <w:fldChar w:fldCharType="end"/>
    </w:r>
    <w:r>
      <w:rPr>
        <w:noProof/>
        <w:lang w:val="nl-nl"/>
        <w:b w:val="0"/>
        <w:bCs w:val="0"/>
        <w:i w:val="0"/>
        <w:iCs w:val="0"/>
        <w:u w:val="none"/>
        <w:rtl w:val="0"/>
      </w:rPr>
      <w:fldChar w:fldCharType="end"/>
    </w:r>
    <w:r>
      <w:rPr>
        <w:noProof/>
        <w:lang w:val="nl-nl"/>
        <w:b w:val="0"/>
        <w:bCs w:val="0"/>
        <w:i w:val="0"/>
        <w:iCs w:val="0"/>
        <w:u w:val="none"/>
        <w:rtl w:val="0"/>
      </w:rPr>
      <w:pict>
        <v:shapetype id="_x0000_t202" coordsize="21600,21600" o:spt="202" path="m,l,21600r21600,l21600,xe">
          <v:stroke joinstyle="miter"/>
          <v:path gradientshapeok="t" o:connecttype="rect"/>
        </v:shapetype>
        <v:shape id="MSIPCM18ba45f6999e0f5d1094e47e" o:spid="_x0000_s1026" type="#_x0000_t202" alt="{&quot;HashCode&quot;:-14014051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TJOZAIAADUFAAAOAAAAZHJzL2Uyb0RvYy54bWysVMFu2zAMvQ/YPwi6L07SrNmCOEXWosOA&#13;&#10;oC3WDj0rspQYk0VNYmJnXz9KtpMu26XDLjJNPlLkI6n5VVMZtlc+lGBzPhoMOVNWQlHaTc6/Pd2+&#13;&#10;+8BZQGELYcCqnB9U4FeLt2/mtZupMWzBFMozCmLDrHY53yK6WZYFuVWVCANwypJRg68E0q/fZIUX&#13;&#10;NUWvTDYeDi+zGnzhPEgVAmlvWiNfpPhaK4n3WgeFzOSccsN0+nSu45kt5mK28cJtS9mlIf4hi0qU&#13;&#10;li49hroRKNjOl3+EqkrpIYDGgYQqA61LqVINVM1oeFbN41Y4lWohcoI70hT+X1h5t390D55h8wka&#13;&#10;amAkpHZhFkgZ62m0r+KXMmVkJwoPR9pUg0yScjqdjidDMkmyjacXw/eJ1+zk7XzAzwoqFoWce2pL&#13;&#10;YkvsVwHpRoL2kHiZhdvSmNQaY1md88sLCvmbhTyMjRqVmtyFOWWeJDwYFTHGflWalUUqICrSeKlr&#13;&#10;49le0GAIKZXFVHuKS+iI0pTEaxw7/Cmr1zi3dfQ3g8Wjc1Va8Kn6s7SL733KusUTkS/qjiI266br&#13;&#10;6BqKAzXaQ7sDwcnbkrqxEgEfhKehpwbSIuM9HdoAsQ6dxNkW/M+/6SOeZpGsnNW0RDkPP3bCK87M&#13;&#10;F0tT+nE0mcStSz8k+Jfada+1u+oaqA0jeiqcTGLEoulF7aF6pj1fxtvIJKykO3OOvXiN7UrTOyHV&#13;&#10;cplAtF9O4Mo+OhlDx67EGXtqnoV33SAijfAd9GsmZmfz2GKjp4XlDkGXaVgjsS2bHeG0m2mGu3ck&#13;&#10;Lv/L/4Q6vXaLXwAAAP//AwBQSwMEFAAGAAgAAAAhAC4A8hPbAAAABwEAAA8AAABkcnMvZG93bnJl&#13;&#10;di54bWxMj8FOwzAMhu9IvENkJG4soUMUStMJgXZBQqJjF25ZY9qKxKmarC1vj3diJ9v6rc+fy83i&#13;&#10;nZhwjH0gDbcrBQKpCbanVsP+c3vzACImQ9a4QKjhFyNsqsuL0hQ2zFTjtEutYAjFwmjoUhoKKWPT&#13;&#10;oTdxFQYkzr7D6E3icWylHc3McO9kptS99KYnvtCZAV86bH52R8+Ux9e3Jb3nHyG6ejtP/muf14PW&#13;&#10;11fL8xOIhEv6X4aTPqtDxU6HcCQbhdPAjyQNa8X1lGbZHXcHDflagaxKee5f/QEAAP//AwBQSwEC&#13;&#10;LQAUAAYACAAAACEAtoM4kv4AAADhAQAAEwAAAAAAAAAAAAAAAAAAAAAAW0NvbnRlbnRfVHlwZXNd&#13;&#10;LnhtbFBLAQItABQABgAIAAAAIQA4/SH/1gAAAJQBAAALAAAAAAAAAAAAAAAAAC8BAABfcmVscy8u&#13;&#10;cmVsc1BLAQItABQABgAIAAAAIQBX1TJOZAIAADUFAAAOAAAAAAAAAAAAAAAAAC4CAABkcnMvZTJv&#13;&#10;RG9jLnhtbFBLAQItABQABgAIAAAAIQAuAPIT2wAAAAcBAAAPAAAAAAAAAAAAAAAAAL4EAABkcnMv&#13;&#10;ZG93bnJldi54bWxQSwUGAAAAAAQABADzAAAAxgUAAAAA&#13;&#10;" o:allowincell="f" filled="f" stroked="f" strokeweight=".5pt">
          <v:textbox inset=",0,,0">
            <w:txbxContent>
              <w:p w:rsidR="009A2B02" w:rsidRPr="009A2B02" w:rsidRDefault="009A2B02" w:rsidP="009A2B02">
                <w:pPr>
                  <w:jc w:val="center"/>
                  <w:rPr>
                    <w:color w:val="000000"/>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02"/>
    <w:rsid w:val="00001DD9"/>
    <w:rsid w:val="00020CB7"/>
    <w:rsid w:val="00055C05"/>
    <w:rsid w:val="00083C50"/>
    <w:rsid w:val="00097F39"/>
    <w:rsid w:val="000A36C7"/>
    <w:rsid w:val="00147547"/>
    <w:rsid w:val="00182AA8"/>
    <w:rsid w:val="00194230"/>
    <w:rsid w:val="00194D0F"/>
    <w:rsid w:val="001C2193"/>
    <w:rsid w:val="00212937"/>
    <w:rsid w:val="00216186"/>
    <w:rsid w:val="00242BDF"/>
    <w:rsid w:val="00242CD7"/>
    <w:rsid w:val="00253C53"/>
    <w:rsid w:val="002551D0"/>
    <w:rsid w:val="00276D38"/>
    <w:rsid w:val="002B163C"/>
    <w:rsid w:val="002E3591"/>
    <w:rsid w:val="002E5857"/>
    <w:rsid w:val="003037CB"/>
    <w:rsid w:val="00315A30"/>
    <w:rsid w:val="00346588"/>
    <w:rsid w:val="00364CAC"/>
    <w:rsid w:val="00384FE5"/>
    <w:rsid w:val="00392CA1"/>
    <w:rsid w:val="003B51DD"/>
    <w:rsid w:val="003C657A"/>
    <w:rsid w:val="003C6C77"/>
    <w:rsid w:val="003E3414"/>
    <w:rsid w:val="003F3F98"/>
    <w:rsid w:val="00426E5E"/>
    <w:rsid w:val="00447248"/>
    <w:rsid w:val="0045742E"/>
    <w:rsid w:val="004574FA"/>
    <w:rsid w:val="00464D98"/>
    <w:rsid w:val="004F5797"/>
    <w:rsid w:val="00580FA9"/>
    <w:rsid w:val="005A7578"/>
    <w:rsid w:val="006202F3"/>
    <w:rsid w:val="006A618A"/>
    <w:rsid w:val="006F7BA4"/>
    <w:rsid w:val="00720107"/>
    <w:rsid w:val="007244FA"/>
    <w:rsid w:val="00741E91"/>
    <w:rsid w:val="007427B2"/>
    <w:rsid w:val="00757507"/>
    <w:rsid w:val="00793A14"/>
    <w:rsid w:val="00797BBB"/>
    <w:rsid w:val="007E67CA"/>
    <w:rsid w:val="0083267D"/>
    <w:rsid w:val="00861D8B"/>
    <w:rsid w:val="008B0B9D"/>
    <w:rsid w:val="008E11DF"/>
    <w:rsid w:val="00923572"/>
    <w:rsid w:val="00942A00"/>
    <w:rsid w:val="0098719A"/>
    <w:rsid w:val="009879D0"/>
    <w:rsid w:val="009A2B02"/>
    <w:rsid w:val="009A6B3E"/>
    <w:rsid w:val="009D771A"/>
    <w:rsid w:val="00A0259E"/>
    <w:rsid w:val="00A07E51"/>
    <w:rsid w:val="00A93340"/>
    <w:rsid w:val="00AB5950"/>
    <w:rsid w:val="00AF5672"/>
    <w:rsid w:val="00B11735"/>
    <w:rsid w:val="00B12599"/>
    <w:rsid w:val="00B7435A"/>
    <w:rsid w:val="00B746AD"/>
    <w:rsid w:val="00BF24BF"/>
    <w:rsid w:val="00C466D6"/>
    <w:rsid w:val="00C5606B"/>
    <w:rsid w:val="00D51606"/>
    <w:rsid w:val="00D90359"/>
    <w:rsid w:val="00D956D2"/>
    <w:rsid w:val="00DD0229"/>
    <w:rsid w:val="00DF01DE"/>
    <w:rsid w:val="00E13D0C"/>
    <w:rsid w:val="00E43DE9"/>
    <w:rsid w:val="00E5018B"/>
    <w:rsid w:val="00E504A7"/>
    <w:rsid w:val="00E747EA"/>
    <w:rsid w:val="00ED1ED6"/>
    <w:rsid w:val="00ED6B9D"/>
    <w:rsid w:val="00ED6CC8"/>
    <w:rsid w:val="00EE1E0D"/>
    <w:rsid w:val="00EE6875"/>
    <w:rsid w:val="00F47F13"/>
    <w:rsid w:val="00F5607C"/>
    <w:rsid w:val="00F57346"/>
    <w:rsid w:val="00FA22C5"/>
    <w:rsid w:val="00FA4D6B"/>
    <w:rsid w:val="00F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8"/>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8999ECB9F50341B5565A33F17A0115" ma:contentTypeVersion="12" ma:contentTypeDescription="Create a new document." ma:contentTypeScope="" ma:versionID="3ab3ef5c2ebebac2cd0228458d9c516d">
  <xsd:schema xmlns:xsd="http://www.w3.org/2001/XMLSchema" xmlns:xs="http://www.w3.org/2001/XMLSchema" xmlns:p="http://schemas.microsoft.com/office/2006/metadata/properties" xmlns:ns2="dd4542b5-9512-489e-8b92-c0f793fdc96b" xmlns:ns3="a8a99508-b824-4f9f-a87a-001fedcc66c3" targetNamespace="http://schemas.microsoft.com/office/2006/metadata/properties" ma:root="true" ma:fieldsID="e39aadd96850e0d9214689d77936b70c" ns2:_="" ns3:_="">
    <xsd:import namespace="dd4542b5-9512-489e-8b92-c0f793fdc96b"/>
    <xsd:import namespace="a8a99508-b824-4f9f-a87a-001fedcc6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542b5-9512-489e-8b92-c0f793fdc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99508-b824-4f9f-a87a-001fedcc6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Props1.xml><?xml version="1.0" encoding="utf-8"?>
<ds:datastoreItem xmlns:ds="http://schemas.openxmlformats.org/officeDocument/2006/customXml" ds:itemID="{C9482AE0-FA99-49B3-8F8C-61D3C3B7606E}">
  <ds:schemaRefs>
    <ds:schemaRef ds:uri="http://schemas.microsoft.com/sharepoint/events"/>
  </ds:schemaRefs>
</ds:datastoreItem>
</file>

<file path=customXml/itemProps2.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E832-B310-484E-9AA0-0E1612EE0AF0}">
  <ds:schemaRefs>
    <ds:schemaRef ds:uri="http://schemas.microsoft.com/sharepoint/v3/contenttype/forms"/>
  </ds:schemaRefs>
</ds:datastoreItem>
</file>

<file path=customXml/itemProps4.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dd4542b5-9512-489e-8b92-c0f793fdc9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Dellieu Louis</cp:lastModifiedBy>
  <cp:revision>38</cp:revision>
  <dcterms:created xsi:type="dcterms:W3CDTF">2020-06-24T13:23:00Z</dcterms:created>
  <dcterms:modified xsi:type="dcterms:W3CDTF">2025-03-07T09:57:00Z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